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</w:rPr>
        <w:t xml:space="preserve">Table </w:t>
      </w:r>
      <w:r>
        <w:rPr>
          <w:rFonts w:hint="eastAsia" w:eastAsia="等线" w:cs="Times New Roman"/>
          <w:b/>
          <w:bCs/>
          <w:color w:val="242021"/>
          <w:kern w:val="0"/>
          <w:sz w:val="24"/>
          <w:szCs w:val="24"/>
          <w:lang w:val="en-US" w:eastAsia="zh-CN"/>
        </w:rPr>
        <w:t>S5</w:t>
      </w: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</w:rPr>
        <w:t xml:space="preserve"> KEGG pathway analysis of SFKs and 20 related genes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250"/>
        <w:gridCol w:w="3390"/>
        <w:gridCol w:w="1330"/>
        <w:gridCol w:w="1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Ontology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ID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GeneRatio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p.adjust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hsa04012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ErbB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7/20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6.88e-08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hsa04660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T cell receptor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7/20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1.44e-07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hsa04062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Chemokine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7/20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6.81e-06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hsa04666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Fc gamma R-mediated phagocytosis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4/20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hsa04510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Focal adhesion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5/20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hsa04722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Neurotrophin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4/20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hsa04650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Natural killer cell mediated cytotoxicity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4/20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hsa05211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Renal cell carcinoma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3/20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hsa04520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Adherens junction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3/20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hsa05220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Chronic myeloid leukemia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3/20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hsa05130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Pathogenic Escherichia coli infection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4/20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hsa04064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NF-kappa B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3/20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hsa05340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Primary immunodeficiency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2/20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hsa04010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MAPK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4/20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KEGG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hsa04662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B cell receptor signaling pathway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2/20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0.048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zBlYmRiNTBiZWU2MzFiMjNlY2JkNTNiYWUxMzIifQ=="/>
  </w:docVars>
  <w:rsids>
    <w:rsidRoot w:val="15E75C9A"/>
    <w:rsid w:val="15E75C9A"/>
    <w:rsid w:val="74C9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780</Characters>
  <Lines>0</Lines>
  <Paragraphs>0</Paragraphs>
  <TotalTime>1</TotalTime>
  <ScaleCrop>false</ScaleCrop>
  <LinksUpToDate>false</LinksUpToDate>
  <CharactersWithSpaces>826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2023-01-15T09:20:00Z</dcterms:created>
  <dc:creator>姚定金</dc:creator>
  <cp:lastModifiedBy>姚定金</cp:lastModifiedBy>
  <dcterms:modified xsi:type="dcterms:W3CDTF">2023-01-20T16:19:43Z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A652229EA1B040EAB79F67B954277E44</vt:lpwstr>
  </property>
</Properties>
</file>